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EA3030" w:rsidP="006F4BDB">
      <w:pPr>
        <w:ind w:firstLine="709"/>
        <w:contextualSpacing/>
        <w:jc w:val="both"/>
        <w:rPr>
          <w:b/>
          <w:bCs/>
          <w:szCs w:val="28"/>
        </w:rPr>
      </w:pPr>
      <w:r w:rsidRPr="00EA303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D41763" w:rsidRPr="00D41763" w:rsidRDefault="00D41763" w:rsidP="00D41763">
      <w:pPr>
        <w:spacing w:line="276" w:lineRule="auto"/>
        <w:contextualSpacing/>
        <w:jc w:val="center"/>
        <w:rPr>
          <w:bCs/>
          <w:iCs/>
          <w:szCs w:val="28"/>
        </w:rPr>
      </w:pPr>
      <w:r w:rsidRPr="00D41763">
        <w:rPr>
          <w:bCs/>
          <w:iCs/>
          <w:szCs w:val="28"/>
        </w:rPr>
        <w:t>Более 900 жителей республики воспользовались «Сельской ипотекой»</w:t>
      </w:r>
    </w:p>
    <w:p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Начиная с 2020 года, в России действует государственная программа «Сельская ипотека», которая предусматривает получение ипотечного кредита со ставкой до 3 % годовых. Стать участником госпрограммы можно в населенных пунктах, где проживает не более 30 тысяч человек. Это не только сёла, но и некоторые райцентры нашей республики.</w:t>
      </w:r>
    </w:p>
    <w:p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С начала действия программы «Сельская ипотека» на территории Чеченской Республики зарегистрировано 959 ипотечных сделок.</w:t>
      </w:r>
    </w:p>
    <w:p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Как отметил заместитель руководителя Управления Росреестра по Чеченской Республике Абу Шаипов, государственная программа позволила многим семьям в нашей республике приобрести новые дома и квартиры и, тем самым, повысить качество жизни.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20CF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0655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A3030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4161-4445-4DF1-B806-3A01273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2024-02-26T13:20:00Z</dcterms:created>
  <dcterms:modified xsi:type="dcterms:W3CDTF">2024-03-01T07:58:00Z</dcterms:modified>
</cp:coreProperties>
</file>